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802"/>
        <w:gridCol w:w="4802"/>
      </w:tblGrid>
      <w:tr>
        <w:tc>
          <w:tcPr>
            <w:tcW w:type="dxa" w:w="1872"/>
            <w:tcBorders>
              <w:top w:val="none"/>
              <w:left w:val="none"/>
              <w:bottom w:val="none"/>
              <w:right w:val="none"/>
            </w:tcBorders>
          </w:tcPr>
          <w:p>
            <w:pPr>
              <w:jc w:val="left"/>
            </w:pPr>
            <w:r>
              <w:drawing>
                <wp:inline xmlns:a="http://schemas.openxmlformats.org/drawingml/2006/main" xmlns:pic="http://schemas.openxmlformats.org/drawingml/2006/picture">
                  <wp:extent cx="1005840" cy="1005840"/>
                  <wp:docPr id="1" name="Picture 1"/>
                  <wp:cNvGraphicFramePr>
                    <a:graphicFrameLocks noChangeAspect="1"/>
                  </wp:cNvGraphicFramePr>
                  <a:graphic>
                    <a:graphicData uri="http://schemas.openxmlformats.org/drawingml/2006/picture">
                      <pic:pic>
                        <pic:nvPicPr>
                          <pic:cNvPr id="0" name="input_file_0.png"/>
                          <pic:cNvPicPr/>
                        </pic:nvPicPr>
                        <pic:blipFill>
                          <a:blip r:embed="rId10"/>
                          <a:stretch>
                            <a:fillRect/>
                          </a:stretch>
                        </pic:blipFill>
                        <pic:spPr>
                          <a:xfrm>
                            <a:off x="0" y="0"/>
                            <a:ext cx="1005840" cy="1005840"/>
                          </a:xfrm>
                          <a:prstGeom prst="rect"/>
                        </pic:spPr>
                      </pic:pic>
                    </a:graphicData>
                  </a:graphic>
                </wp:inline>
              </w:drawing>
            </w:r>
          </w:p>
        </w:tc>
        <w:tc>
          <w:tcPr>
            <w:tcW w:type="dxa" w:w="7632"/>
            <w:tcBorders>
              <w:top w:val="none"/>
              <w:left w:val="none"/>
              <w:bottom w:val="none"/>
              <w:right w:val="none"/>
            </w:tcBorders>
          </w:tcPr>
          <w:p>
            <w:pPr>
              <w:spacing w:after="0" w:line="276" w:lineRule="auto"/>
            </w:pPr>
            <w:r>
              <w:rPr>
                <w:rFonts w:ascii="Garamond" w:hAnsi="Garamond"/>
                <w:b/>
                <w:color w:val="1A365D"/>
                <w:sz w:val="30"/>
              </w:rPr>
              <w:t>TAJIKISTAN JOURNAL OF SCIENCES &amp; TECHNOLOGY</w:t>
              <w:br/>
            </w:r>
            <w:r>
              <w:rPr>
                <w:rFonts w:ascii="Garamond" w:hAnsi="Garamond"/>
                <w:b/>
                <w:sz w:val="19"/>
              </w:rPr>
              <w:t>Website: www.tjst-journal.com</w:t>
              <w:br/>
            </w:r>
            <w:r>
              <w:rPr>
                <w:rFonts w:ascii="Garamond" w:hAnsi="Garamond"/>
                <w:i/>
                <w:sz w:val="19"/>
              </w:rPr>
              <w:t>Tajik. J. Sci. Technol. Vol. x, No. x (2026) x-x</w:t>
              <w:br/>
            </w:r>
            <w:r>
              <w:rPr>
                <w:rFonts w:ascii="Garamond" w:hAnsi="Garamond"/>
                <w:b/>
                <w:sz w:val="19"/>
              </w:rPr>
              <w:t>DOI: https://doi.org/10.67274/TJST</w:t>
            </w:r>
          </w:p>
        </w:tc>
      </w:tr>
    </w:tbl>
    <w:p>
      <w:pPr>
        <w:spacing w:before="120" w:after="240"/>
        <w:pBdr>
          <w:bottom w:val="single" w:sz="12" w:space="1" w:color="1A365D"/>
        </w:pBdr>
      </w:pPr>
    </w:p>
    <w:p>
      <w:pPr>
        <w:spacing w:after="40"/>
      </w:pPr>
      <w:r>
        <w:rPr>
          <w:rFonts w:ascii="Garamond" w:hAnsi="Garamond"/>
          <w:b/>
          <w:color w:val="1A365D"/>
          <w:sz w:val="19"/>
        </w:rPr>
        <w:t>ORIGINAL ARTICLE</w:t>
      </w:r>
    </w:p>
    <w:p>
      <w:pPr>
        <w:spacing w:after="160"/>
      </w:pPr>
      <w:r>
        <w:rPr>
          <w:rFonts w:ascii="Garamond" w:hAnsi="Garamond"/>
          <w:b/>
          <w:sz w:val="36"/>
        </w:rPr>
        <w:t>Insert Your Research Title Here</w:t>
      </w:r>
    </w:p>
    <w:p>
      <w:pPr>
        <w:spacing w:after="40"/>
      </w:pPr>
      <w:r>
        <w:rPr>
          <w:rFonts w:ascii="Garamond" w:hAnsi="Garamond"/>
          <w:b/>
          <w:sz w:val="20"/>
        </w:rPr>
        <w:t>First Author 1,*, Second Author 2</w:t>
      </w:r>
    </w:p>
    <w:p>
      <w:pPr>
        <w:spacing w:after="200" w:line="276" w:lineRule="auto"/>
      </w:pPr>
      <w:r>
        <w:rPr>
          <w:rFonts w:ascii="Garamond" w:hAnsi="Garamond"/>
          <w:color w:val="333333"/>
          <w:sz w:val="18"/>
        </w:rPr>
        <w:t>1 Department of Computer Science, University Name, City, Country; Email: first.author@domain.com</w:t>
        <w:br/>
        <w:t>2 Department of Engineering, Institution Name, City, Country; Email: second.author@domain.com</w:t>
      </w:r>
    </w:p>
    <w:tbl>
      <w:tblPr>
        <w:tblW w:type="auto" w:w="0"/>
        <w:jc w:val="center"/>
        <w:tblLook w:firstColumn="1" w:firstRow="1" w:lastColumn="0" w:lastRow="0" w:noHBand="0" w:noVBand="1" w:val="04A0"/>
      </w:tblPr>
      <w:tblGrid>
        <w:gridCol w:w="9605"/>
      </w:tblGrid>
      <w:tr>
        <w:tc>
          <w:tcPr>
            <w:tcW w:type="dxa" w:w="9605"/>
            <w:shd w:fill="F8FAFC"/>
            <w:tcBorders>
              <w:top w:val="single" w:sz="4" w:space="0" w:color="E2E8F0"/>
              <w:left w:val="single" w:sz="4" w:space="0" w:color="E2E8F0"/>
              <w:bottom w:val="single" w:sz="4" w:space="0" w:color="E2E8F0"/>
              <w:right w:val="single" w:sz="4" w:space="0" w:color="E2E8F0"/>
            </w:tcBorders>
          </w:tcPr>
          <w:p>
            <w:pPr>
              <w:spacing w:before="80" w:after="80" w:line="288" w:lineRule="auto"/>
            </w:pPr>
            <w:r>
              <w:rPr>
                <w:rFonts w:ascii="Garamond" w:hAnsi="Garamond"/>
                <w:b/>
                <w:sz w:val="17"/>
              </w:rPr>
              <w:t xml:space="preserve">Citation: </w:t>
            </w:r>
            <w:r>
              <w:rPr>
                <w:rFonts w:ascii="Garamond" w:hAnsi="Garamond"/>
                <w:sz w:val="17"/>
              </w:rPr>
              <w:t>Author, F., &amp; Author, S. (2026). Paper Title. Tajikistan Journal of Sciences &amp; Technology, Volume (Issue), PP. https://doi.org/10.67274/TJST</w:t>
              <w:br/>
            </w:r>
            <w:r>
              <w:rPr>
                <w:rFonts w:ascii="Garamond" w:hAnsi="Garamond"/>
                <w:b/>
                <w:sz w:val="17"/>
              </w:rPr>
              <w:t>Received: -- | Revised: -- | Accepted: --</w:t>
            </w:r>
          </w:p>
        </w:tc>
      </w:tr>
    </w:tbl>
    <w:tbl>
      <w:tblPr>
        <w:tblW w:type="auto" w:w="0"/>
        <w:jc w:val="center"/>
        <w:tblLook w:firstColumn="1" w:firstRow="1" w:lastColumn="0" w:lastRow="0" w:noHBand="0" w:noVBand="1" w:val="04A0"/>
      </w:tblPr>
      <w:tblGrid>
        <w:gridCol w:w="9605"/>
      </w:tblGrid>
      <w:tr>
        <w:tc>
          <w:tcPr>
            <w:tcW w:type="dxa" w:w="9605"/>
            <w:shd w:fill="F8FAFC"/>
            <w:tcBorders>
              <w:top w:val="single" w:sz="6" w:space="0" w:color="CBD5E1"/>
              <w:left w:val="single" w:sz="6" w:space="0" w:color="CBD5E1"/>
              <w:bottom w:val="single" w:sz="6" w:space="0" w:color="CBD5E1"/>
              <w:right w:val="single" w:sz="6" w:space="0" w:color="CBD5E1"/>
            </w:tcBorders>
          </w:tcPr>
          <w:p>
            <w:pPr>
              <w:spacing w:before="120" w:after="80"/>
            </w:pPr>
            <w:r>
              <w:rPr>
                <w:rFonts w:ascii="Garamond" w:hAnsi="Garamond"/>
                <w:b/>
                <w:color w:val="1A365D"/>
                <w:sz w:val="21"/>
              </w:rPr>
              <w:t>ABSTRACT</w:t>
              <w:br/>
            </w:r>
            <w:r>
              <w:rPr>
                <w:rFonts w:ascii="Garamond" w:hAnsi="Garamond"/>
                <w:sz w:val="20"/>
              </w:rPr>
              <w:t>Every paper should include an abstract with a maximum of 300 words. The abstract should include the problem explanation, methods used for the solution, and the significant results. It should finish with a sentence to describe the implications for the field. The abstract must not include references, figures or tables.</w:t>
              <w:br/>
              <w:br/>
            </w:r>
            <w:r>
              <w:rPr>
                <w:rFonts w:ascii="Garamond" w:hAnsi="Garamond"/>
                <w:b/>
                <w:sz w:val="19"/>
              </w:rPr>
              <w:t>Keywords: Keyword 1; Keyword 2; Keyword 3; Keyword 4; Keyword 5.</w:t>
            </w:r>
          </w:p>
        </w:tc>
      </w:tr>
    </w:tbl>
    <w:p>
      <w:pPr>
        <w:keepNext/>
        <w:spacing w:before="240" w:after="80"/>
      </w:pPr>
      <w:r>
        <w:rPr>
          <w:rFonts w:ascii="Garamond" w:hAnsi="Garamond"/>
          <w:b/>
          <w:color w:val="1A365D"/>
          <w:sz w:val="26"/>
        </w:rPr>
        <w:t>1 | INTRODUCTION</w:t>
      </w:r>
    </w:p>
    <w:p>
      <w:pPr>
        <w:spacing w:after="120" w:line="276" w:lineRule="auto"/>
        <w:jc w:val="both"/>
      </w:pPr>
      <w:r>
        <w:rPr>
          <w:rFonts w:ascii="Garamond" w:hAnsi="Garamond"/>
        </w:rPr>
        <w:t>The title of the paper should be written in Garamond bold 19-point font, left side on the top of the paper. The first letter of every word in the title should be capitalized. The authors' names, following the title, must be written in Garamond bold 10 point font and their affiliations must be written in Garamond 9 point font.</w:t>
      </w:r>
    </w:p>
    <w:p>
      <w:pPr>
        <w:spacing w:after="120" w:line="276" w:lineRule="auto"/>
        <w:ind w:firstLine="360"/>
        <w:jc w:val="both"/>
      </w:pPr>
      <w:r>
        <w:rPr>
          <w:rFonts w:ascii="Garamond" w:hAnsi="Garamond"/>
        </w:rPr>
        <w:t>All major headings are flushed with the left margin in Garamond. Headings 1 are capitalized, bold and in 16 fonts. Do not put a period after the text of the heading. Headings 2 are capitalized, bold and in 14 fonts. Headings 3 are sentence case and in 12 fonts. The whole paper should be written in "Garamond" font and 11 pt. Every paragraph should be justified. Line spacing at paragraphs should be multiple at 1.15 cm, and please leave one line space between two paragraphs.</w:t>
      </w:r>
    </w:p>
    <w:p>
      <w:pPr>
        <w:keepNext/>
        <w:spacing w:before="240" w:after="80"/>
      </w:pPr>
      <w:r>
        <w:rPr>
          <w:rFonts w:ascii="Garamond" w:hAnsi="Garamond"/>
          <w:b/>
          <w:color w:val="1A365D"/>
          <w:sz w:val="23"/>
        </w:rPr>
        <w:t>1.1 | Figures and Tables</w:t>
      </w:r>
    </w:p>
    <w:p>
      <w:pPr>
        <w:spacing w:after="120" w:line="276" w:lineRule="auto"/>
        <w:jc w:val="both"/>
      </w:pPr>
      <w:r>
        <w:rPr>
          <w:rFonts w:ascii="Garamond" w:hAnsi="Garamond"/>
        </w:rPr>
        <w:t>Figures and Tables should be placed as close as possible to where they are cited. Captions should be Garamond 10 points, bold, and in sentence case. Figures and Tables should be numbered separately and consecutively. Figure captions should be center-aligned below the figures, and table captions should be center-aligned above the table body.</w:t>
      </w:r>
    </w:p>
    <w:p>
      <w:pPr>
        <w:spacing w:after="120" w:line="276" w:lineRule="auto"/>
        <w:ind w:firstLine="360"/>
        <w:jc w:val="both"/>
      </w:pPr>
      <w:r>
        <w:rPr>
          <w:rFonts w:ascii="Garamond" w:hAnsi="Garamond"/>
        </w:rPr>
        <w:t>All inserts, figures, diagrams, photographs, and tables must be center-aligned, clear, and appropriate for black/white or greyscale reproduction.</w:t>
      </w:r>
    </w:p>
    <w:p>
      <w:pPr>
        <w:spacing w:before="160" w:after="80"/>
        <w:jc w:val="center"/>
      </w:pPr>
      <w:r>
        <w:rPr>
          <w:rFonts w:ascii="Garamond" w:hAnsi="Garamond"/>
          <w:b/>
          <w:sz w:val="19"/>
        </w:rPr>
        <w:t>Table 1. List of Arc lengths.</w:t>
      </w:r>
    </w:p>
    <w:tbl>
      <w:tblPr>
        <w:tblW w:type="auto" w:w="0"/>
        <w:jc w:val="center"/>
        <w:tblLook w:firstColumn="1" w:firstRow="1" w:lastColumn="0" w:lastRow="0" w:noHBand="0" w:noVBand="1" w:val="04A0"/>
      </w:tblPr>
      <w:tblGrid>
        <w:gridCol w:w="3202"/>
        <w:gridCol w:w="3202"/>
        <w:gridCol w:w="3202"/>
      </w:tblGrid>
      <w:tr>
        <w:tc>
          <w:tcPr>
            <w:tcW w:type="dxa" w:w="864"/>
            <w:shd w:fill="F1F5F9"/>
            <w:tcBorders>
              <w:top w:val="single" w:sz="4" w:space="0" w:color="666666"/>
              <w:left w:val="single" w:sz="4" w:space="0" w:color="666666"/>
              <w:bottom w:val="single" w:sz="4" w:space="0" w:color="666666"/>
              <w:right w:val="single" w:sz="4" w:space="0" w:color="666666"/>
            </w:tcBorders>
          </w:tcPr>
          <w:p>
            <w:pPr>
              <w:jc w:val="left"/>
            </w:pPr>
            <w:r>
              <w:rPr>
                <w:rFonts w:ascii="Garamond" w:hAnsi="Garamond"/>
                <w:b/>
                <w:sz w:val="18"/>
              </w:rPr>
              <w:t>S/N</w:t>
            </w:r>
          </w:p>
        </w:tc>
        <w:tc>
          <w:tcPr>
            <w:tcW w:type="dxa" w:w="6048"/>
            <w:shd w:fill="F1F5F9"/>
            <w:tcBorders>
              <w:top w:val="single" w:sz="4" w:space="0" w:color="666666"/>
              <w:left w:val="single" w:sz="4" w:space="0" w:color="666666"/>
              <w:bottom w:val="single" w:sz="4" w:space="0" w:color="666666"/>
              <w:right w:val="single" w:sz="4" w:space="0" w:color="666666"/>
            </w:tcBorders>
          </w:tcPr>
          <w:p>
            <w:pPr>
              <w:jc w:val="left"/>
            </w:pPr>
            <w:r>
              <w:rPr>
                <w:rFonts w:ascii="Garamond" w:hAnsi="Garamond"/>
                <w:b/>
                <w:sz w:val="18"/>
              </w:rPr>
              <w:t>Questions</w:t>
            </w:r>
          </w:p>
        </w:tc>
        <w:tc>
          <w:tcPr>
            <w:tcW w:type="dxa" w:w="2693"/>
            <w:shd w:fill="F1F5F9"/>
            <w:tcBorders>
              <w:top w:val="single" w:sz="4" w:space="0" w:color="666666"/>
              <w:left w:val="single" w:sz="4" w:space="0" w:color="666666"/>
              <w:bottom w:val="single" w:sz="4" w:space="0" w:color="666666"/>
              <w:right w:val="single" w:sz="4" w:space="0" w:color="666666"/>
            </w:tcBorders>
          </w:tcPr>
          <w:p>
            <w:pPr>
              <w:jc w:val="left"/>
            </w:pPr>
            <w:r>
              <w:rPr>
                <w:rFonts w:ascii="Garamond" w:hAnsi="Garamond"/>
                <w:b/>
                <w:sz w:val="18"/>
              </w:rPr>
              <w:t>Options</w:t>
            </w:r>
          </w:p>
        </w:tc>
      </w:tr>
      <w:tr>
        <w:tc>
          <w:tcPr>
            <w:tcW w:type="dxa" w:w="864"/>
            <w:tcBorders>
              <w:top w:val="single" w:sz="4" w:space="0" w:color="666666"/>
              <w:left w:val="single" w:sz="4" w:space="0" w:color="666666"/>
              <w:bottom w:val="single" w:sz="4" w:space="0" w:color="666666"/>
              <w:right w:val="single" w:sz="4" w:space="0" w:color="666666"/>
            </w:tcBorders>
          </w:tcPr>
          <w:p>
            <w:pPr>
              <w:jc w:val="left"/>
            </w:pPr>
            <w:r>
              <w:rPr>
                <w:rFonts w:ascii="Garamond" w:hAnsi="Garamond"/>
                <w:sz w:val="18"/>
              </w:rPr>
              <w:t>1</w:t>
            </w:r>
          </w:p>
        </w:tc>
        <w:tc>
          <w:tcPr>
            <w:tcW w:type="dxa" w:w="6048"/>
            <w:tcBorders>
              <w:top w:val="single" w:sz="4" w:space="0" w:color="666666"/>
              <w:left w:val="single" w:sz="4" w:space="0" w:color="666666"/>
              <w:bottom w:val="single" w:sz="4" w:space="0" w:color="666666"/>
              <w:right w:val="single" w:sz="4" w:space="0" w:color="666666"/>
            </w:tcBorders>
          </w:tcPr>
          <w:p>
            <w:pPr>
              <w:jc w:val="left"/>
            </w:pPr>
            <w:r>
              <w:rPr>
                <w:rFonts w:ascii="Garamond" w:hAnsi="Garamond"/>
                <w:sz w:val="18"/>
              </w:rPr>
              <w:t>How often does waste management team visit your locality for waste collection and disposal?</w:t>
            </w:r>
          </w:p>
        </w:tc>
        <w:tc>
          <w:tcPr>
            <w:tcW w:type="dxa" w:w="2693"/>
            <w:tcBorders>
              <w:top w:val="single" w:sz="4" w:space="0" w:color="666666"/>
              <w:left w:val="single" w:sz="4" w:space="0" w:color="666666"/>
              <w:bottom w:val="single" w:sz="4" w:space="0" w:color="666666"/>
              <w:right w:val="single" w:sz="4" w:space="0" w:color="666666"/>
            </w:tcBorders>
          </w:tcPr>
          <w:p>
            <w:pPr>
              <w:jc w:val="left"/>
            </w:pPr>
            <w:r>
              <w:rPr>
                <w:rFonts w:ascii="Garamond" w:hAnsi="Garamond"/>
                <w:sz w:val="18"/>
              </w:rPr>
              <w:t>Once a week / Once a month</w:t>
            </w:r>
          </w:p>
        </w:tc>
      </w:tr>
      <w:tr>
        <w:tc>
          <w:tcPr>
            <w:tcW w:type="dxa" w:w="864"/>
            <w:tcBorders>
              <w:top w:val="single" w:sz="4" w:space="0" w:color="666666"/>
              <w:left w:val="single" w:sz="4" w:space="0" w:color="666666"/>
              <w:bottom w:val="single" w:sz="4" w:space="0" w:color="666666"/>
              <w:right w:val="single" w:sz="4" w:space="0" w:color="666666"/>
            </w:tcBorders>
          </w:tcPr>
          <w:p>
            <w:pPr>
              <w:jc w:val="left"/>
            </w:pPr>
            <w:r>
              <w:rPr>
                <w:rFonts w:ascii="Garamond" w:hAnsi="Garamond"/>
                <w:sz w:val="18"/>
              </w:rPr>
              <w:t>2</w:t>
            </w:r>
          </w:p>
        </w:tc>
        <w:tc>
          <w:tcPr>
            <w:tcW w:type="dxa" w:w="6048"/>
            <w:tcBorders>
              <w:top w:val="single" w:sz="4" w:space="0" w:color="666666"/>
              <w:left w:val="single" w:sz="4" w:space="0" w:color="666666"/>
              <w:bottom w:val="single" w:sz="4" w:space="0" w:color="666666"/>
              <w:right w:val="single" w:sz="4" w:space="0" w:color="666666"/>
            </w:tcBorders>
          </w:tcPr>
          <w:p>
            <w:pPr>
              <w:jc w:val="left"/>
            </w:pPr>
            <w:r>
              <w:rPr>
                <w:rFonts w:ascii="Garamond" w:hAnsi="Garamond"/>
                <w:sz w:val="18"/>
              </w:rPr>
              <w:t>How do you dispose your household waste?</w:t>
            </w:r>
          </w:p>
        </w:tc>
        <w:tc>
          <w:tcPr>
            <w:tcW w:type="dxa" w:w="2693"/>
            <w:tcBorders>
              <w:top w:val="single" w:sz="4" w:space="0" w:color="666666"/>
              <w:left w:val="single" w:sz="4" w:space="0" w:color="666666"/>
              <w:bottom w:val="single" w:sz="4" w:space="0" w:color="666666"/>
              <w:right w:val="single" w:sz="4" w:space="0" w:color="666666"/>
            </w:tcBorders>
          </w:tcPr>
          <w:p>
            <w:pPr>
              <w:jc w:val="left"/>
            </w:pPr>
            <w:r>
              <w:rPr>
                <w:rFonts w:ascii="Garamond" w:hAnsi="Garamond"/>
                <w:sz w:val="18"/>
              </w:rPr>
              <w:t>Bury it in the ground / Burn it</w:t>
            </w:r>
          </w:p>
        </w:tc>
      </w:tr>
      <w:tr>
        <w:tc>
          <w:tcPr>
            <w:tcW w:type="dxa" w:w="864"/>
            <w:tcBorders>
              <w:top w:val="single" w:sz="4" w:space="0" w:color="666666"/>
              <w:left w:val="single" w:sz="4" w:space="0" w:color="666666"/>
              <w:bottom w:val="single" w:sz="4" w:space="0" w:color="666666"/>
              <w:right w:val="single" w:sz="4" w:space="0" w:color="666666"/>
            </w:tcBorders>
          </w:tcPr>
          <w:p>
            <w:pPr>
              <w:jc w:val="left"/>
            </w:pPr>
            <w:r>
              <w:rPr>
                <w:rFonts w:ascii="Garamond" w:hAnsi="Garamond"/>
                <w:sz w:val="18"/>
              </w:rPr>
              <w:t>3</w:t>
            </w:r>
          </w:p>
        </w:tc>
        <w:tc>
          <w:tcPr>
            <w:tcW w:type="dxa" w:w="6048"/>
            <w:tcBorders>
              <w:top w:val="single" w:sz="4" w:space="0" w:color="666666"/>
              <w:left w:val="single" w:sz="4" w:space="0" w:color="666666"/>
              <w:bottom w:val="single" w:sz="4" w:space="0" w:color="666666"/>
              <w:right w:val="single" w:sz="4" w:space="0" w:color="666666"/>
            </w:tcBorders>
          </w:tcPr>
          <w:p>
            <w:pPr>
              <w:jc w:val="left"/>
            </w:pPr>
            <w:r>
              <w:rPr>
                <w:rFonts w:ascii="Garamond" w:hAnsi="Garamond"/>
                <w:sz w:val="18"/>
              </w:rPr>
              <w:t>What (category) of waste is dominant in your daily household waste?</w:t>
            </w:r>
          </w:p>
        </w:tc>
        <w:tc>
          <w:tcPr>
            <w:tcW w:type="dxa" w:w="2693"/>
            <w:tcBorders>
              <w:top w:val="single" w:sz="4" w:space="0" w:color="666666"/>
              <w:left w:val="single" w:sz="4" w:space="0" w:color="666666"/>
              <w:bottom w:val="single" w:sz="4" w:space="0" w:color="666666"/>
              <w:right w:val="single" w:sz="4" w:space="0" w:color="666666"/>
            </w:tcBorders>
          </w:tcPr>
          <w:p>
            <w:pPr>
              <w:jc w:val="left"/>
            </w:pPr>
            <w:r>
              <w:rPr>
                <w:rFonts w:ascii="Garamond" w:hAnsi="Garamond"/>
                <w:sz w:val="18"/>
              </w:rPr>
              <w:t>Food waste / Plastic waste</w:t>
            </w:r>
          </w:p>
        </w:tc>
      </w:tr>
    </w:tbl>
    <w:p>
      <w:pPr>
        <w:keepNext/>
        <w:spacing w:before="240" w:after="80"/>
      </w:pPr>
      <w:r>
        <w:rPr>
          <w:rFonts w:ascii="Garamond" w:hAnsi="Garamond"/>
          <w:b/>
          <w:color w:val="1A365D"/>
          <w:sz w:val="23"/>
        </w:rPr>
        <w:t>1.1.1 | Variables and Equations</w:t>
      </w:r>
    </w:p>
    <w:p>
      <w:pPr>
        <w:spacing w:after="120" w:line="276" w:lineRule="auto"/>
        <w:jc w:val="both"/>
      </w:pPr>
      <w:r>
        <w:rPr>
          <w:rFonts w:ascii="Garamond" w:hAnsi="Garamond"/>
        </w:rPr>
        <w:t>All equations in-text should be Times New Roman font, and 10 pt. as the sample. All equations in separate tables should be placed on separate lines, Times New Roman font and 11 pt. numbered consecutively, and left aligned with the equation numbers placed within parentheses and aligned against the right margin as shown in Eq. (1):</w:t>
      </w:r>
    </w:p>
    <w:p>
      <w:pPr>
        <w:spacing w:before="120" w:after="120"/>
        <w:jc w:val="center"/>
      </w:pPr>
      <w:r>
        <w:rPr>
          <w:rFonts w:ascii="Times New Roman" w:hAnsi="Times New Roman"/>
          <w:i/>
          <w:sz w:val="22"/>
        </w:rPr>
        <w:t>E = mc²                                                                                (1)</w:t>
      </w:r>
    </w:p>
    <w:p>
      <w:pPr>
        <w:spacing w:after="160" w:line="276" w:lineRule="auto"/>
        <w:jc w:val="both"/>
      </w:pPr>
      <w:r>
        <w:rPr>
          <w:rFonts w:ascii="Garamond" w:hAnsi="Garamond"/>
        </w:rPr>
        <w:t>Where E is energy, m is mass, and c is the speed of light. Be sure that the symbols in your equation have been defined before the equation appears or immediately following.</w:t>
      </w:r>
    </w:p>
    <w:p>
      <w:pPr>
        <w:keepNext/>
        <w:spacing w:before="240" w:after="80"/>
      </w:pPr>
      <w:r>
        <w:rPr>
          <w:rFonts w:ascii="Garamond" w:hAnsi="Garamond"/>
          <w:b/>
          <w:color w:val="1A365D"/>
          <w:sz w:val="23"/>
        </w:rPr>
        <w:t>ACKNOWLEDGMENTS</w:t>
      </w:r>
    </w:p>
    <w:p>
      <w:pPr>
        <w:spacing w:after="120" w:line="276" w:lineRule="auto"/>
        <w:jc w:val="both"/>
      </w:pPr>
      <w:r>
        <w:rPr>
          <w:rFonts w:ascii="Garamond" w:hAnsi="Garamond"/>
          <w:sz w:val="19"/>
        </w:rPr>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p>
    <w:p>
      <w:pPr>
        <w:keepNext/>
        <w:spacing w:before="240" w:after="80"/>
      </w:pPr>
      <w:r>
        <w:rPr>
          <w:rFonts w:ascii="Garamond" w:hAnsi="Garamond"/>
          <w:b/>
          <w:color w:val="1A365D"/>
          <w:sz w:val="23"/>
        </w:rPr>
        <w:t>AUTHOR CONTRIBUTION</w:t>
      </w:r>
    </w:p>
    <w:p>
      <w:pPr>
        <w:spacing w:after="120" w:line="276" w:lineRule="auto"/>
        <w:jc w:val="both"/>
      </w:pPr>
      <w:r>
        <w:rPr>
          <w:rFonts w:ascii="Garamond" w:hAnsi="Garamond"/>
          <w:sz w:val="19"/>
        </w:rPr>
        <w:t>Conceptualization, F.A. and S.A.; Methodology, F.A.; Software, F.A.; Validation, F.A., S.A.; Formal Analysis, F.A.; Investigation, F.A.; Resources, F.A.; Data Maintenance, F.A.; Writing - Original Draft Preparation, F.A.; Writing Review &amp; Editing, S.A.; Visualization, F.A.; Supervision, S.A.; Project Administration, S.A. All authors have read and agreed to the published version of the manuscript.</w:t>
      </w:r>
    </w:p>
    <w:p>
      <w:pPr>
        <w:keepNext/>
        <w:spacing w:before="240" w:after="80"/>
      </w:pPr>
      <w:r>
        <w:rPr>
          <w:rFonts w:ascii="Garamond" w:hAnsi="Garamond"/>
          <w:b/>
          <w:color w:val="1A365D"/>
          <w:sz w:val="23"/>
        </w:rPr>
        <w:t>FUNDING</w:t>
      </w:r>
    </w:p>
    <w:p>
      <w:pPr>
        <w:spacing w:after="120" w:line="276" w:lineRule="auto"/>
        <w:jc w:val="both"/>
      </w:pPr>
      <w:r>
        <w:rPr>
          <w:rFonts w:ascii="Garamond" w:hAnsi="Garamond"/>
          <w:sz w:val="19"/>
        </w:rPr>
        <w:t>This research received no external funding.</w:t>
      </w:r>
    </w:p>
    <w:p>
      <w:pPr>
        <w:keepNext/>
        <w:spacing w:before="240" w:after="80"/>
      </w:pPr>
      <w:r>
        <w:rPr>
          <w:rFonts w:ascii="Garamond" w:hAnsi="Garamond"/>
          <w:b/>
          <w:color w:val="1A365D"/>
          <w:sz w:val="23"/>
        </w:rPr>
        <w:t>DATA AVAILABILITY</w:t>
      </w:r>
    </w:p>
    <w:p>
      <w:pPr>
        <w:spacing w:after="120" w:line="276" w:lineRule="auto"/>
        <w:jc w:val="both"/>
      </w:pPr>
      <w:r>
        <w:rPr>
          <w:rFonts w:ascii="Garamond" w:hAnsi="Garamond"/>
          <w:sz w:val="19"/>
        </w:rPr>
        <w:t>The datasets generated and analyzed during the current study are available from the corresponding author on reasonable request.</w:t>
      </w:r>
    </w:p>
    <w:p>
      <w:pPr>
        <w:keepNext/>
        <w:spacing w:before="240" w:after="80"/>
      </w:pPr>
      <w:r>
        <w:rPr>
          <w:rFonts w:ascii="Garamond" w:hAnsi="Garamond"/>
          <w:b/>
          <w:color w:val="1A365D"/>
          <w:sz w:val="23"/>
        </w:rPr>
        <w:t>CONFLICTS OF INTEREST</w:t>
      </w:r>
    </w:p>
    <w:p>
      <w:pPr>
        <w:spacing w:after="120" w:line="276" w:lineRule="auto"/>
        <w:jc w:val="both"/>
      </w:pPr>
      <w:r>
        <w:rPr>
          <w:rFonts w:ascii="Garamond" w:hAnsi="Garamond"/>
          <w:sz w:val="19"/>
        </w:rPr>
        <w:t>The authors declare no conflict of interest.</w:t>
      </w:r>
    </w:p>
    <w:tbl>
      <w:tblPr>
        <w:tblW w:type="auto" w:w="0"/>
        <w:jc w:val="center"/>
        <w:tblLook w:firstColumn="1" w:firstRow="1" w:lastColumn="0" w:lastRow="0" w:noHBand="0" w:noVBand="1" w:val="04A0"/>
      </w:tblPr>
      <w:tblGrid>
        <w:gridCol w:w="9605"/>
      </w:tblGrid>
      <w:tr>
        <w:tc>
          <w:tcPr>
            <w:tcW w:type="dxa" w:w="9605"/>
            <w:shd w:fill="F8FAFC"/>
            <w:tcBorders>
              <w:top w:val="single" w:sz="6" w:space="0" w:color="CBD5E1"/>
              <w:left w:val="single" w:sz="6" w:space="0" w:color="CBD5E1"/>
              <w:bottom w:val="single" w:sz="6" w:space="0" w:color="CBD5E1"/>
              <w:right w:val="single" w:sz="6" w:space="0" w:color="CBD5E1"/>
            </w:tcBorders>
          </w:tcPr>
          <w:p>
            <w:pPr>
              <w:spacing w:before="120" w:after="120" w:line="288" w:lineRule="auto"/>
            </w:pPr>
            <w:r>
              <w:rPr>
                <w:rFonts w:ascii="Garamond" w:hAnsi="Garamond"/>
                <w:b/>
                <w:color w:val="1A365D"/>
                <w:sz w:val="19"/>
              </w:rPr>
              <w:t>Creative Commons Licensing &amp; Open Access</w:t>
              <w:br/>
            </w:r>
            <w:r>
              <w:rPr>
                <w:rFonts w:ascii="Garamond" w:hAnsi="Garamond"/>
                <w:sz w:val="17"/>
              </w:rPr>
              <w:t>This work is licensed under a Creative Commons Attribution 4.0 International License (CC BY 4.0). Under this license, users are free to share (copy and redistribute the material in any medium or format) and adapt (remix, transform, and build upon the material for any purpose, even commercially), provided appropriate credit is given to the original author(s) and source, a link to the Creative Commons license is provided, and any changes made are indicated.</w:t>
            </w:r>
          </w:p>
        </w:tc>
      </w:tr>
    </w:tbl>
    <w:p>
      <w:pPr>
        <w:keepNext/>
        <w:spacing w:before="240" w:after="80"/>
      </w:pPr>
      <w:r>
        <w:rPr>
          <w:rFonts w:ascii="Garamond" w:hAnsi="Garamond"/>
          <w:b/>
          <w:color w:val="1A365D"/>
          <w:sz w:val="23"/>
        </w:rPr>
        <w:t>REFERENCES</w:t>
      </w:r>
    </w:p>
    <w:p>
      <w:pPr>
        <w:spacing w:after="80" w:line="276" w:lineRule="auto"/>
        <w:ind w:left="360" w:hanging="360"/>
      </w:pPr>
      <w:r>
        <w:rPr>
          <w:rFonts w:ascii="Garamond" w:hAnsi="Garamond"/>
          <w:b/>
          <w:sz w:val="17"/>
        </w:rPr>
        <w:t xml:space="preserve">1. </w:t>
      </w:r>
      <w:r>
        <w:rPr>
          <w:rFonts w:ascii="Garamond" w:hAnsi="Garamond"/>
          <w:sz w:val="17"/>
        </w:rPr>
        <w:t>Youssf, O., ElGawady, M. A., &amp; Mills, J. E. (2016). Static cyclic behavior of FRP-confined crumb rubber concrete columns. Engineering Structures, 113, 371-387. https://doi.org/10.1016/j.engstruct.2016.01.033</w:t>
      </w:r>
    </w:p>
    <w:p>
      <w:pPr>
        <w:spacing w:after="80" w:line="276" w:lineRule="auto"/>
        <w:ind w:left="360" w:hanging="360"/>
      </w:pPr>
      <w:r>
        <w:rPr>
          <w:rFonts w:ascii="Garamond" w:hAnsi="Garamond"/>
          <w:b/>
          <w:sz w:val="17"/>
        </w:rPr>
        <w:t xml:space="preserve">2. </w:t>
      </w:r>
      <w:r>
        <w:rPr>
          <w:rFonts w:ascii="Garamond" w:hAnsi="Garamond"/>
          <w:sz w:val="17"/>
        </w:rPr>
        <w:t>Liao, H., &amp; Xu, Z. (2017). Hesitant fuzzy decision making methodologies and applications. Springer Singapore.</w:t>
      </w:r>
    </w:p>
    <w:p>
      <w:pPr>
        <w:spacing w:after="80" w:line="276" w:lineRule="auto"/>
        <w:ind w:left="360" w:hanging="360"/>
      </w:pPr>
      <w:r>
        <w:rPr>
          <w:rFonts w:ascii="Garamond" w:hAnsi="Garamond"/>
          <w:b/>
          <w:sz w:val="17"/>
        </w:rPr>
        <w:t xml:space="preserve">3. </w:t>
      </w:r>
      <w:r>
        <w:rPr>
          <w:rFonts w:ascii="Garamond" w:hAnsi="Garamond"/>
          <w:sz w:val="17"/>
        </w:rPr>
        <w:t>McKenzie, R. B. (2018). From Robbins to Friedman and beyond. In A brain-focused foundation for economic science (pp. 63-92). Palgrave Macmillan, Cham. Springer.</w:t>
      </w:r>
    </w:p>
    <w:sectPr w:rsidR="00FC693F" w:rsidRPr="0006063C" w:rsidSect="00034616">
      <w:headerReference w:type="default" r:id="rId9"/>
      <w:pgSz w:w="11909" w:h="16834"/>
      <w:pgMar w:top="1152" w:right="1152" w:bottom="1152" w:left="1152"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aramond" w:hAnsi="Garamond"/>
        <w:color w:val="555555"/>
        <w:sz w:val="17"/>
      </w:rPr>
      <w:t>Tajikistan Journal of Sciences &amp; Technology | Vol. X, No. X (2026) | DOI: 10.67274/TJST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aramond" w:hAnsi="Garamond"/>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